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t>南京林业大学经济管理学院研究生学业奖学金</w:t>
      </w:r>
      <w:r>
        <w:rPr>
          <w:rFonts w:hint="eastAsia" w:ascii="仿宋" w:hAnsi="仿宋" w:eastAsia="仿宋" w:cs="仿宋"/>
          <w:b/>
          <w:bCs/>
          <w:kern w:val="0"/>
          <w:sz w:val="32"/>
          <w:szCs w:val="32"/>
          <w:highlight w:val="none"/>
          <w:lang w:eastAsia="zh-CN"/>
        </w:rPr>
        <w:t>评定细则</w:t>
      </w:r>
      <w:r>
        <w:rPr>
          <w:rFonts w:hint="eastAsia" w:ascii="仿宋" w:hAnsi="仿宋" w:eastAsia="仿宋" w:cs="仿宋"/>
          <w:b/>
          <w:bCs/>
          <w:kern w:val="0"/>
          <w:sz w:val="32"/>
          <w:szCs w:val="32"/>
          <w:highlight w:val="none"/>
        </w:rPr>
        <w:t>（</w:t>
      </w:r>
      <w:r>
        <w:rPr>
          <w:rFonts w:hint="eastAsia" w:ascii="仿宋" w:hAnsi="仿宋" w:eastAsia="仿宋" w:cs="仿宋"/>
          <w:b/>
          <w:bCs/>
          <w:kern w:val="0"/>
          <w:sz w:val="32"/>
          <w:szCs w:val="32"/>
          <w:highlight w:val="none"/>
          <w:lang w:val="en-US" w:eastAsia="zh-CN"/>
        </w:rPr>
        <w:t>2022版</w:t>
      </w:r>
      <w:r>
        <w:rPr>
          <w:rFonts w:hint="eastAsia" w:ascii="仿宋" w:hAnsi="仿宋" w:eastAsia="仿宋" w:cs="仿宋"/>
          <w:b/>
          <w:bCs/>
          <w:kern w:val="0"/>
          <w:sz w:val="32"/>
          <w:szCs w:val="32"/>
          <w:highlight w:val="none"/>
        </w:rPr>
        <w:t>）</w:t>
      </w:r>
    </w:p>
    <w:p>
      <w:pPr>
        <w:keepNext w:val="0"/>
        <w:keepLines w:val="0"/>
        <w:pageBreakBefore w:val="0"/>
        <w:kinsoku/>
        <w:wordWrap/>
        <w:overflowPunct/>
        <w:topLinePunct w:val="0"/>
        <w:autoSpaceDE/>
        <w:autoSpaceDN/>
        <w:bidi w:val="0"/>
        <w:adjustRightInd/>
        <w:spacing w:line="360" w:lineRule="auto"/>
        <w:ind w:firstLine="562" w:firstLineChars="200"/>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第一章　总则</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rPr>
      </w:pPr>
      <w:r>
        <w:rPr>
          <w:rFonts w:hint="eastAsia" w:ascii="仿宋" w:hAnsi="仿宋" w:eastAsia="仿宋" w:cs="仿宋"/>
          <w:b/>
          <w:bCs/>
          <w:kern w:val="0"/>
          <w:sz w:val="24"/>
          <w:highlight w:val="none"/>
        </w:rPr>
        <w:t xml:space="preserve"> 第一条</w:t>
      </w:r>
      <w:r>
        <w:rPr>
          <w:rFonts w:hint="eastAsia" w:ascii="仿宋" w:hAnsi="仿宋" w:eastAsia="仿宋" w:cs="仿宋"/>
          <w:kern w:val="0"/>
          <w:sz w:val="24"/>
          <w:highlight w:val="none"/>
        </w:rPr>
        <w:t>　为激励研究生勤奋学习、潜心科研、勇于创新、积极进取，在全面实行研究生教育收费制度下更好地支持研究生顺利完成学业，根据《南京林业大学研究生学业奖学金管理暂行办法(修订)》（南林研【2021】40号）</w:t>
      </w:r>
      <w:r>
        <w:rPr>
          <w:rFonts w:hint="eastAsia" w:ascii="仿宋" w:hAnsi="仿宋" w:eastAsia="仿宋" w:cs="仿宋"/>
          <w:kern w:val="0"/>
          <w:sz w:val="24"/>
          <w:highlight w:val="none"/>
          <w:lang w:eastAsia="zh-CN"/>
        </w:rPr>
        <w:t>和《</w:t>
      </w:r>
      <w:r>
        <w:rPr>
          <w:rFonts w:hint="eastAsia" w:ascii="仿宋" w:hAnsi="仿宋" w:eastAsia="仿宋" w:cs="仿宋"/>
          <w:kern w:val="0"/>
          <w:sz w:val="24"/>
          <w:highlight w:val="none"/>
        </w:rPr>
        <w:t>关于做好2021-2022学年研究生学业奖学金评定工作的通知</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文件</w:t>
      </w:r>
      <w:r>
        <w:rPr>
          <w:rFonts w:hint="eastAsia" w:ascii="仿宋" w:hAnsi="仿宋" w:eastAsia="仿宋" w:cs="仿宋"/>
          <w:kern w:val="0"/>
          <w:sz w:val="24"/>
          <w:highlight w:val="none"/>
          <w:lang w:val="en-US" w:eastAsia="zh-CN"/>
        </w:rPr>
        <w:t>精神，</w:t>
      </w:r>
      <w:r>
        <w:rPr>
          <w:rFonts w:hint="eastAsia" w:ascii="仿宋" w:hAnsi="仿宋" w:eastAsia="仿宋" w:cs="仿宋"/>
          <w:kern w:val="0"/>
          <w:sz w:val="24"/>
          <w:highlight w:val="none"/>
        </w:rPr>
        <w:t>为做好</w:t>
      </w:r>
      <w:r>
        <w:rPr>
          <w:rFonts w:hint="eastAsia" w:ascii="仿宋" w:hAnsi="仿宋" w:eastAsia="仿宋" w:cs="仿宋"/>
          <w:kern w:val="0"/>
          <w:sz w:val="24"/>
          <w:highlight w:val="none"/>
          <w:lang w:val="en-US" w:eastAsia="zh-CN"/>
        </w:rPr>
        <w:t>南京林业大学经济管理学院</w:t>
      </w:r>
      <w:r>
        <w:rPr>
          <w:rFonts w:hint="eastAsia" w:ascii="仿宋" w:hAnsi="仿宋" w:eastAsia="仿宋" w:cs="仿宋"/>
          <w:kern w:val="0"/>
          <w:sz w:val="24"/>
          <w:highlight w:val="none"/>
        </w:rPr>
        <w:t>研究生学业奖学金评定工作，特制定本办法。</w:t>
      </w:r>
    </w:p>
    <w:p>
      <w:pPr>
        <w:keepNext w:val="0"/>
        <w:keepLines w:val="0"/>
        <w:pageBreakBefore w:val="0"/>
        <w:kinsoku/>
        <w:wordWrap/>
        <w:overflowPunct/>
        <w:topLinePunct w:val="0"/>
        <w:autoSpaceDE/>
        <w:autoSpaceDN/>
        <w:bidi w:val="0"/>
        <w:adjustRightInd/>
        <w:spacing w:line="360" w:lineRule="auto"/>
        <w:ind w:firstLine="488"/>
        <w:textAlignment w:val="auto"/>
        <w:rPr>
          <w:rFonts w:hint="eastAsia" w:ascii="仿宋" w:hAnsi="仿宋" w:eastAsia="仿宋" w:cs="仿宋"/>
          <w:kern w:val="0"/>
          <w:sz w:val="24"/>
          <w:highlight w:val="none"/>
        </w:rPr>
      </w:pPr>
      <w:r>
        <w:rPr>
          <w:rFonts w:hint="eastAsia" w:ascii="仿宋" w:hAnsi="仿宋" w:eastAsia="仿宋" w:cs="仿宋"/>
          <w:b/>
          <w:bCs/>
          <w:kern w:val="0"/>
          <w:sz w:val="24"/>
          <w:highlight w:val="none"/>
        </w:rPr>
        <w:t>第二条</w:t>
      </w:r>
      <w:r>
        <w:rPr>
          <w:rFonts w:hint="eastAsia" w:ascii="仿宋" w:hAnsi="仿宋" w:eastAsia="仿宋" w:cs="仿宋"/>
          <w:kern w:val="0"/>
          <w:sz w:val="24"/>
          <w:highlight w:val="none"/>
        </w:rPr>
        <w:t>　本办法所称研究生是指纳入全国研究生招生计划且在正常学制内的全日制研究生</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定向、委托培养、人事档案不在学校和延期毕业的研究生不在参评范围内。</w:t>
      </w:r>
    </w:p>
    <w:p>
      <w:pPr>
        <w:keepNext w:val="0"/>
        <w:keepLines w:val="0"/>
        <w:pageBreakBefore w:val="0"/>
        <w:kinsoku/>
        <w:wordWrap/>
        <w:overflowPunct/>
        <w:topLinePunct w:val="0"/>
        <w:autoSpaceDE/>
        <w:autoSpaceDN/>
        <w:bidi w:val="0"/>
        <w:adjustRightInd/>
        <w:spacing w:line="360" w:lineRule="auto"/>
        <w:ind w:firstLine="488"/>
        <w:textAlignment w:val="auto"/>
        <w:rPr>
          <w:rFonts w:hint="eastAsia" w:ascii="仿宋" w:hAnsi="仿宋" w:eastAsia="仿宋" w:cs="仿宋"/>
          <w:kern w:val="0"/>
          <w:sz w:val="24"/>
          <w:highlight w:val="none"/>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第二章　奖励标准、比例与基本条件</w:t>
      </w:r>
    </w:p>
    <w:p>
      <w:pPr>
        <w:pStyle w:val="7"/>
        <w:keepNext w:val="0"/>
        <w:keepLines w:val="0"/>
        <w:pageBreakBefore w:val="0"/>
        <w:numPr>
          <w:ilvl w:val="0"/>
          <w:numId w:val="0"/>
        </w:numPr>
        <w:kinsoku/>
        <w:wordWrap/>
        <w:overflowPunct/>
        <w:topLinePunct w:val="0"/>
        <w:autoSpaceDE/>
        <w:autoSpaceDN/>
        <w:bidi w:val="0"/>
        <w:adjustRightInd/>
        <w:snapToGrid w:val="0"/>
        <w:spacing w:before="93" w:beforeLines="30" w:beforeAutospacing="0" w:after="93" w:afterLines="30" w:afterAutospacing="0" w:line="360" w:lineRule="auto"/>
        <w:ind w:leftChars="0"/>
        <w:textAlignment w:val="auto"/>
        <w:outlineLvl w:val="9"/>
        <w:rPr>
          <w:rFonts w:hint="eastAsia" w:ascii="仿宋" w:hAnsi="仿宋" w:eastAsia="仿宋" w:cs="仿宋"/>
          <w:kern w:val="0"/>
          <w:sz w:val="24"/>
          <w:szCs w:val="20"/>
          <w:highlight w:val="none"/>
          <w:lang w:val="en-US" w:eastAsia="zh-CN" w:bidi="ar-SA"/>
        </w:rPr>
      </w:pPr>
      <w:r>
        <w:rPr>
          <w:rFonts w:hint="eastAsia" w:ascii="仿宋" w:hAnsi="仿宋" w:eastAsia="仿宋" w:cs="仿宋"/>
          <w:b/>
          <w:bCs/>
          <w:kern w:val="0"/>
          <w:sz w:val="24"/>
          <w:highlight w:val="none"/>
        </w:rPr>
        <w:t xml:space="preserve">    第三条</w:t>
      </w:r>
      <w:r>
        <w:rPr>
          <w:rFonts w:hint="eastAsia" w:ascii="仿宋" w:hAnsi="仿宋" w:eastAsia="仿宋" w:cs="仿宋"/>
          <w:kern w:val="0"/>
          <w:sz w:val="24"/>
          <w:highlight w:val="none"/>
        </w:rPr>
        <w:t>　</w:t>
      </w:r>
      <w:r>
        <w:rPr>
          <w:rFonts w:hint="eastAsia" w:ascii="仿宋" w:hAnsi="仿宋" w:eastAsia="仿宋" w:cs="仿宋"/>
          <w:kern w:val="0"/>
          <w:sz w:val="24"/>
          <w:szCs w:val="20"/>
          <w:highlight w:val="none"/>
          <w:lang w:val="en-US" w:eastAsia="zh-CN" w:bidi="ar-SA"/>
        </w:rPr>
        <w:t>研究生学业奖学金分为三个等级，各等级的标准和奖励比例见表1和表2。</w:t>
      </w:r>
    </w:p>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表1</w:t>
      </w:r>
      <w:r>
        <w:rPr>
          <w:rFonts w:hint="eastAsia" w:ascii="仿宋" w:hAnsi="仿宋" w:eastAsia="仿宋" w:cs="仿宋"/>
          <w:b/>
          <w:sz w:val="24"/>
          <w:szCs w:val="24"/>
          <w:highlight w:val="none"/>
        </w:rPr>
        <w:t xml:space="preserve"> 博士研究生学业奖学金等级、标准、奖励比例</w:t>
      </w:r>
    </w:p>
    <w:tbl>
      <w:tblPr>
        <w:tblStyle w:val="8"/>
        <w:tblW w:w="8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845"/>
        <w:gridCol w:w="2670"/>
        <w:gridCol w:w="3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9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年级</w:t>
            </w:r>
          </w:p>
        </w:tc>
        <w:tc>
          <w:tcPr>
            <w:tcW w:w="84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等级</w:t>
            </w:r>
          </w:p>
        </w:tc>
        <w:tc>
          <w:tcPr>
            <w:tcW w:w="267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奖励标准（元/生.学年）</w:t>
            </w:r>
          </w:p>
        </w:tc>
        <w:tc>
          <w:tcPr>
            <w:tcW w:w="3464"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奖励比例（%）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19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2022级</w:t>
            </w:r>
          </w:p>
        </w:tc>
        <w:tc>
          <w:tcPr>
            <w:tcW w:w="84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一等</w:t>
            </w:r>
          </w:p>
        </w:tc>
        <w:tc>
          <w:tcPr>
            <w:tcW w:w="267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14000</w:t>
            </w:r>
          </w:p>
        </w:tc>
        <w:tc>
          <w:tcPr>
            <w:tcW w:w="3464"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195" w:type="dxa"/>
            <w:vMerge w:val="restart"/>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2019级</w:t>
            </w:r>
          </w:p>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2020级</w:t>
            </w:r>
          </w:p>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2021级</w:t>
            </w:r>
          </w:p>
        </w:tc>
        <w:tc>
          <w:tcPr>
            <w:tcW w:w="84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一等</w:t>
            </w:r>
          </w:p>
        </w:tc>
        <w:tc>
          <w:tcPr>
            <w:tcW w:w="267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18000</w:t>
            </w:r>
          </w:p>
        </w:tc>
        <w:tc>
          <w:tcPr>
            <w:tcW w:w="3464"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95" w:type="dxa"/>
            <w:vMerge w:val="continue"/>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p>
        </w:tc>
        <w:tc>
          <w:tcPr>
            <w:tcW w:w="84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二等</w:t>
            </w:r>
          </w:p>
        </w:tc>
        <w:tc>
          <w:tcPr>
            <w:tcW w:w="267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14800</w:t>
            </w:r>
          </w:p>
        </w:tc>
        <w:tc>
          <w:tcPr>
            <w:tcW w:w="3464"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95" w:type="dxa"/>
            <w:vMerge w:val="continue"/>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p>
        </w:tc>
        <w:tc>
          <w:tcPr>
            <w:tcW w:w="84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三等</w:t>
            </w:r>
          </w:p>
        </w:tc>
        <w:tc>
          <w:tcPr>
            <w:tcW w:w="267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10000</w:t>
            </w:r>
          </w:p>
        </w:tc>
        <w:tc>
          <w:tcPr>
            <w:tcW w:w="3464"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30</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9"/>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 xml:space="preserve">表2 </w:t>
      </w:r>
      <w:r>
        <w:rPr>
          <w:rFonts w:hint="eastAsia" w:ascii="仿宋" w:hAnsi="仿宋" w:eastAsia="仿宋" w:cs="仿宋"/>
          <w:b/>
          <w:sz w:val="24"/>
          <w:szCs w:val="24"/>
          <w:highlight w:val="none"/>
        </w:rPr>
        <w:t xml:space="preserve"> 硕士研究生学业奖学金等级、标准、奖励比例</w:t>
      </w:r>
    </w:p>
    <w:tbl>
      <w:tblPr>
        <w:tblStyle w:val="8"/>
        <w:tblW w:w="8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55"/>
        <w:gridCol w:w="2640"/>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249"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年级</w:t>
            </w:r>
          </w:p>
        </w:tc>
        <w:tc>
          <w:tcPr>
            <w:tcW w:w="85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等级</w:t>
            </w:r>
          </w:p>
        </w:tc>
        <w:tc>
          <w:tcPr>
            <w:tcW w:w="264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奖励标准（元/生.学年）</w:t>
            </w:r>
          </w:p>
        </w:tc>
        <w:tc>
          <w:tcPr>
            <w:tcW w:w="3497"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奖励比例(%)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249" w:type="dxa"/>
            <w:vMerge w:val="restart"/>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2022级</w:t>
            </w:r>
          </w:p>
        </w:tc>
        <w:tc>
          <w:tcPr>
            <w:tcW w:w="85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一等</w:t>
            </w:r>
          </w:p>
        </w:tc>
        <w:tc>
          <w:tcPr>
            <w:tcW w:w="264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8000</w:t>
            </w:r>
          </w:p>
        </w:tc>
        <w:tc>
          <w:tcPr>
            <w:tcW w:w="3497"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X（第一志愿报考我校者）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249" w:type="dxa"/>
            <w:vMerge w:val="continue"/>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p>
        </w:tc>
        <w:tc>
          <w:tcPr>
            <w:tcW w:w="85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二等</w:t>
            </w:r>
          </w:p>
        </w:tc>
        <w:tc>
          <w:tcPr>
            <w:tcW w:w="264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4000</w:t>
            </w:r>
          </w:p>
        </w:tc>
        <w:tc>
          <w:tcPr>
            <w:tcW w:w="3497"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100-X（非第一志愿报考我校者）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jc w:val="center"/>
        </w:trPr>
        <w:tc>
          <w:tcPr>
            <w:tcW w:w="1249" w:type="dxa"/>
            <w:vMerge w:val="restart"/>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2020级</w:t>
            </w:r>
          </w:p>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2021</w:t>
            </w:r>
            <w:r>
              <w:rPr>
                <w:rFonts w:hint="eastAsia" w:ascii="仿宋" w:hAnsi="仿宋" w:eastAsia="仿宋" w:cs="仿宋"/>
                <w:kern w:val="0"/>
                <w:sz w:val="21"/>
                <w:szCs w:val="21"/>
                <w:highlight w:val="none"/>
              </w:rPr>
              <w:t>级</w:t>
            </w:r>
          </w:p>
        </w:tc>
        <w:tc>
          <w:tcPr>
            <w:tcW w:w="85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一等</w:t>
            </w:r>
          </w:p>
        </w:tc>
        <w:tc>
          <w:tcPr>
            <w:tcW w:w="264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12000</w:t>
            </w:r>
          </w:p>
        </w:tc>
        <w:tc>
          <w:tcPr>
            <w:tcW w:w="3497"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exact"/>
          <w:jc w:val="center"/>
        </w:trPr>
        <w:tc>
          <w:tcPr>
            <w:tcW w:w="1249" w:type="dxa"/>
            <w:vMerge w:val="continue"/>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p>
        </w:tc>
        <w:tc>
          <w:tcPr>
            <w:tcW w:w="85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二等</w:t>
            </w:r>
          </w:p>
        </w:tc>
        <w:tc>
          <w:tcPr>
            <w:tcW w:w="264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8000</w:t>
            </w:r>
          </w:p>
        </w:tc>
        <w:tc>
          <w:tcPr>
            <w:tcW w:w="3497"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1249" w:type="dxa"/>
            <w:vMerge w:val="continue"/>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p>
        </w:tc>
        <w:tc>
          <w:tcPr>
            <w:tcW w:w="855"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三等</w:t>
            </w:r>
          </w:p>
        </w:tc>
        <w:tc>
          <w:tcPr>
            <w:tcW w:w="2640"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6000</w:t>
            </w:r>
          </w:p>
        </w:tc>
        <w:tc>
          <w:tcPr>
            <w:tcW w:w="3497" w:type="dxa"/>
            <w:vAlign w:val="center"/>
          </w:tcPr>
          <w:p>
            <w:pPr>
              <w:keepNext w:val="0"/>
              <w:keepLines w:val="0"/>
              <w:pageBreakBefore w:val="0"/>
              <w:kinsoku/>
              <w:wordWrap/>
              <w:overflowPunct/>
              <w:topLinePunct w:val="0"/>
              <w:autoSpaceDE/>
              <w:autoSpaceDN/>
              <w:bidi w:val="0"/>
              <w:adjustRightInd/>
              <w:spacing w:line="240" w:lineRule="auto"/>
              <w:ind w:firstLine="0" w:firstLineChars="0"/>
              <w:jc w:val="center"/>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30</w:t>
            </w:r>
          </w:p>
        </w:tc>
      </w:tr>
    </w:tbl>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第四条</w:t>
      </w:r>
      <w:r>
        <w:rPr>
          <w:rFonts w:hint="eastAsia" w:ascii="仿宋" w:hAnsi="仿宋" w:eastAsia="仿宋" w:cs="仿宋"/>
          <w:kern w:val="0"/>
          <w:sz w:val="24"/>
          <w:highlight w:val="none"/>
          <w:lang w:val="en-US" w:eastAsia="zh-CN"/>
        </w:rPr>
        <w:t xml:space="preserve">  学院每年依据资金情况、学生人数，综合考虑学科差异、学生类别对研究生学业奖学金等级、标准和奖励比例进行动态调整。</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第五条</w:t>
      </w:r>
      <w:r>
        <w:rPr>
          <w:rFonts w:hint="eastAsia" w:ascii="仿宋" w:hAnsi="仿宋" w:eastAsia="仿宋" w:cs="仿宋"/>
          <w:kern w:val="0"/>
          <w:sz w:val="24"/>
          <w:highlight w:val="none"/>
          <w:lang w:val="en-US" w:eastAsia="zh-CN"/>
        </w:rPr>
        <w:t xml:space="preserve">  研究生学业奖学金基本条件：</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     1、具有中华人民共和国国籍；</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     2、热爱社会主义祖国，拥护中国共产党的领导；</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     3、遵守国家法律法规，遵守学校规章制度；</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4、诚实守信，品学兼优；</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     5、积极参与科学研究和社会实践。</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rPr>
        <w:t>第</w:t>
      </w:r>
      <w:r>
        <w:rPr>
          <w:rFonts w:hint="eastAsia" w:ascii="仿宋" w:hAnsi="仿宋" w:eastAsia="仿宋" w:cs="仿宋"/>
          <w:b/>
          <w:bCs/>
          <w:kern w:val="0"/>
          <w:sz w:val="24"/>
          <w:highlight w:val="none"/>
          <w:lang w:val="en-US" w:eastAsia="zh-CN"/>
        </w:rPr>
        <w:t>六</w:t>
      </w:r>
      <w:r>
        <w:rPr>
          <w:rFonts w:hint="eastAsia" w:ascii="仿宋" w:hAnsi="仿宋" w:eastAsia="仿宋" w:cs="仿宋"/>
          <w:b/>
          <w:bCs/>
          <w:kern w:val="0"/>
          <w:sz w:val="24"/>
          <w:highlight w:val="none"/>
        </w:rPr>
        <w:t>条　</w:t>
      </w:r>
      <w:r>
        <w:rPr>
          <w:rFonts w:hint="eastAsia" w:ascii="仿宋" w:hAnsi="仿宋" w:eastAsia="仿宋" w:cs="仿宋"/>
          <w:kern w:val="0"/>
          <w:sz w:val="24"/>
          <w:highlight w:val="none"/>
          <w:lang w:val="en-US" w:eastAsia="zh-CN"/>
        </w:rPr>
        <w:t>硕博连读研究生在注册为博士研究生之前，按照硕士研究生身份参与学业奖学金的评定；注册为博士研究生后，按照博士研究生身份参与学业奖学金的评定。</w:t>
      </w:r>
      <w:r>
        <w:rPr>
          <w:rFonts w:hint="eastAsia" w:ascii="仿宋" w:hAnsi="仿宋" w:eastAsia="仿宋" w:cs="仿宋"/>
          <w:kern w:val="0"/>
          <w:sz w:val="24"/>
          <w:highlight w:val="none"/>
          <w:lang w:val="en-US" w:eastAsia="zh-CN"/>
        </w:rPr>
        <w:t>2022级</w:t>
      </w:r>
      <w:r>
        <w:rPr>
          <w:rFonts w:hint="eastAsia" w:ascii="仿宋" w:hAnsi="仿宋" w:eastAsia="仿宋" w:cs="仿宋"/>
          <w:kern w:val="0"/>
          <w:sz w:val="24"/>
          <w:highlight w:val="none"/>
          <w:lang w:val="en-US" w:eastAsia="zh-CN"/>
        </w:rPr>
        <w:t>博士新生中为硕博连读生的，按照博士身份评定。</w:t>
      </w:r>
    </w:p>
    <w:p>
      <w:pPr>
        <w:keepNext w:val="0"/>
        <w:keepLines w:val="0"/>
        <w:pageBreakBefore w:val="0"/>
        <w:kinsoku/>
        <w:wordWrap/>
        <w:overflowPunct/>
        <w:topLinePunct w:val="0"/>
        <w:autoSpaceDE/>
        <w:autoSpaceDN/>
        <w:bidi w:val="0"/>
        <w:adjustRightInd/>
        <w:spacing w:line="360" w:lineRule="auto"/>
        <w:ind w:firstLine="488" w:firstLineChars="0"/>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直博生和硕博连读生，申请退出连读，转入硕士阶段学习的，自批准之日起按照硕士身份参评。</w:t>
      </w:r>
      <w:r>
        <w:rPr>
          <w:rFonts w:hint="eastAsia" w:ascii="仿宋" w:hAnsi="仿宋" w:eastAsia="仿宋" w:cs="仿宋"/>
          <w:kern w:val="0"/>
          <w:sz w:val="24"/>
          <w:highlight w:val="none"/>
        </w:rPr>
        <w:t>直博生攻读至第五学年时并入四年级博士评选。</w:t>
      </w:r>
    </w:p>
    <w:p>
      <w:pPr>
        <w:keepNext w:val="0"/>
        <w:keepLines w:val="0"/>
        <w:pageBreakBefore w:val="0"/>
        <w:numPr>
          <w:ilvl w:val="0"/>
          <w:numId w:val="1"/>
        </w:numPr>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 研究生在学制期限内，由于出国、疾病等原因办理保留学籍或休学等手续的，此期间不享受学业奖学金。</w:t>
      </w:r>
      <w:r>
        <w:rPr>
          <w:rFonts w:hint="eastAsia" w:ascii="仿宋" w:hAnsi="仿宋" w:eastAsia="仿宋" w:cs="仿宋"/>
          <w:kern w:val="0"/>
          <w:sz w:val="24"/>
          <w:highlight w:val="none"/>
          <w:lang w:val="en-US" w:eastAsia="zh-CN"/>
        </w:rPr>
        <w:t>研究生在学制期限内，上一学年中休学1学期（秋季学期含寒假，春季学期含暑假）者，不参加本学年评选，学业奖学金按照同级别最低标准发放；</w:t>
      </w:r>
      <w:r>
        <w:rPr>
          <w:rFonts w:hint="eastAsia" w:ascii="仿宋" w:hAnsi="仿宋" w:eastAsia="仿宋" w:cs="仿宋"/>
          <w:kern w:val="0"/>
          <w:sz w:val="24"/>
          <w:highlight w:val="none"/>
          <w:lang w:val="en-US" w:eastAsia="zh-CN"/>
        </w:rPr>
        <w:t>上一学年内休学1学期（秋季学期含寒假，春季学期含暑假）及以上者，不参加本学年评选。</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第八条</w:t>
      </w:r>
      <w:r>
        <w:rPr>
          <w:rFonts w:hint="eastAsia" w:ascii="仿宋" w:hAnsi="仿宋" w:eastAsia="仿宋" w:cs="仿宋"/>
          <w:kern w:val="0"/>
          <w:sz w:val="24"/>
          <w:highlight w:val="none"/>
          <w:lang w:val="en-US" w:eastAsia="zh-CN"/>
        </w:rPr>
        <w:t xml:space="preserve">  学业奖学金每学年评定一次。学院根据学校要求，统筹研究生国家奖学金、研究生学业奖学金以及其他研究生奖学金的评审工作。</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第九条</w:t>
      </w:r>
      <w:r>
        <w:rPr>
          <w:rFonts w:hint="eastAsia" w:ascii="仿宋" w:hAnsi="仿宋" w:eastAsia="仿宋" w:cs="仿宋"/>
          <w:kern w:val="0"/>
          <w:sz w:val="24"/>
          <w:highlight w:val="none"/>
          <w:lang w:val="en-US" w:eastAsia="zh-CN"/>
        </w:rPr>
        <w:t xml:space="preserve">  获得研究生学业奖学金奖励的研究生，可以同时获得国家及学校其他各类研究生奖助学金的奖励及资助。</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第十条</w:t>
      </w:r>
      <w:r>
        <w:rPr>
          <w:rFonts w:hint="eastAsia" w:ascii="仿宋" w:hAnsi="仿宋" w:eastAsia="仿宋" w:cs="仿宋"/>
          <w:kern w:val="0"/>
          <w:sz w:val="24"/>
          <w:highlight w:val="none"/>
          <w:lang w:val="en-US" w:eastAsia="zh-CN"/>
        </w:rPr>
        <w:t xml:space="preserve">  截至学院初评时，未按时缴纳学费或已超出缓交时限者，取消当年学业奖学金参评资格。</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第十一条</w:t>
      </w:r>
      <w:r>
        <w:rPr>
          <w:rFonts w:hint="eastAsia" w:ascii="仿宋" w:hAnsi="仿宋" w:eastAsia="仿宋" w:cs="仿宋"/>
          <w:kern w:val="0"/>
          <w:sz w:val="24"/>
          <w:highlight w:val="none"/>
          <w:lang w:val="en-US" w:eastAsia="zh-CN"/>
        </w:rPr>
        <w:t xml:space="preserve">  有校级以上违纪处分者不参加学业奖学金评比，该班级（专业）总人数按原来班级（专业）人数分配，三等学业奖学金人数进行相应核减。</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 xml:space="preserve">第十二条  </w:t>
      </w:r>
      <w:r>
        <w:rPr>
          <w:rFonts w:hint="eastAsia" w:ascii="仿宋" w:hAnsi="仿宋" w:eastAsia="仿宋" w:cs="仿宋"/>
          <w:kern w:val="0"/>
          <w:sz w:val="24"/>
          <w:highlight w:val="none"/>
          <w:lang w:val="en-US" w:eastAsia="zh-CN"/>
        </w:rPr>
        <w:t>名额分配原则与标准如下：</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采取四舍五入原则，先将学校分配的指标根据各班级人数进行初次分配，若四舍五入后总人数超过班级人数：（1）班级名额相等情况下优先将高额学业奖学金倾斜高年级；（2）先按20%比例计算一等是否满足名额分配，若满足则优先保证各班级70%比例分配一等和二等名额总和，以此计算各班级二等名额</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保证学校分配总人数满足要求。</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采取四舍五入原则，再次将班级名额根据每班各个专业人数进行再分配（仅限科硕）。如果各专业候选人名额相加后与班级分配的名额相等，则符合要求；如果专业分配名额多于班级分配名额：（1）从“五入”的专业，一等按照“五入”值最小数进行淘汰；（2）一等名额分配后，优先保证各专业70%比例分配一等和二等名额总和，以此计算各专业二等名额，按照专业分配的名额确定最终人选。</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outlineLvl w:val="9"/>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表3 经济管理学院2019~2021级研究生学业奖学金名额分配表</w:t>
      </w:r>
    </w:p>
    <w:tbl>
      <w:tblPr>
        <w:tblStyle w:val="8"/>
        <w:tblW w:w="88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742"/>
        <w:gridCol w:w="1195"/>
        <w:gridCol w:w="1473"/>
        <w:gridCol w:w="144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班级名称</w:t>
            </w: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专业名称</w:t>
            </w:r>
          </w:p>
        </w:tc>
        <w:tc>
          <w:tcPr>
            <w:tcW w:w="119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人数</w:t>
            </w:r>
          </w:p>
        </w:tc>
        <w:tc>
          <w:tcPr>
            <w:tcW w:w="147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一等（20%）</w:t>
            </w:r>
          </w:p>
        </w:tc>
        <w:tc>
          <w:tcPr>
            <w:tcW w:w="144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二等（50%）</w:t>
            </w:r>
          </w:p>
        </w:tc>
        <w:tc>
          <w:tcPr>
            <w:tcW w:w="165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三等（30%）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19博士</w:t>
            </w: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农林经济管理</w:t>
            </w:r>
          </w:p>
        </w:tc>
        <w:tc>
          <w:tcPr>
            <w:tcW w:w="119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7</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2</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3</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20博士</w:t>
            </w: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农林经济管理</w:t>
            </w:r>
          </w:p>
        </w:tc>
        <w:tc>
          <w:tcPr>
            <w:tcW w:w="119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9</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b/>
                <w:bCs/>
                <w:sz w:val="21"/>
                <w:szCs w:val="21"/>
                <w:highlight w:val="none"/>
                <w:vertAlign w:val="baseline"/>
                <w:lang w:val="en-US" w:eastAsia="zh-CN"/>
              </w:rPr>
              <w:t>2</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b/>
                <w:bCs/>
                <w:sz w:val="21"/>
                <w:szCs w:val="21"/>
                <w:highlight w:val="none"/>
                <w:vertAlign w:val="baseline"/>
                <w:lang w:val="en-US" w:eastAsia="zh-CN"/>
              </w:rPr>
              <w:t>5</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b/>
                <w:bCs/>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lang w:val="en-US" w:eastAsia="zh-CN"/>
              </w:rPr>
              <w:t>21博士</w:t>
            </w: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农林经济管理</w:t>
            </w:r>
          </w:p>
        </w:tc>
        <w:tc>
          <w:tcPr>
            <w:tcW w:w="119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7</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b/>
                <w:bCs/>
                <w:sz w:val="21"/>
                <w:szCs w:val="21"/>
                <w:highlight w:val="none"/>
                <w:vertAlign w:val="baseline"/>
                <w:lang w:val="en-US" w:eastAsia="zh-CN"/>
              </w:rPr>
              <w:t>1</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b/>
                <w:bCs/>
                <w:sz w:val="21"/>
                <w:szCs w:val="21"/>
                <w:highlight w:val="none"/>
                <w:vertAlign w:val="baseline"/>
                <w:lang w:val="en-US" w:eastAsia="zh-CN"/>
              </w:rPr>
              <w:t>4</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b/>
                <w:bCs/>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107"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rPr>
            </w:pPr>
            <w:r>
              <w:rPr>
                <w:rFonts w:hint="eastAsia" w:ascii="仿宋" w:hAnsi="仿宋" w:eastAsia="仿宋" w:cs="仿宋"/>
                <w:b/>
                <w:bCs/>
                <w:color w:val="000000"/>
                <w:kern w:val="0"/>
                <w:sz w:val="21"/>
                <w:szCs w:val="21"/>
                <w:highlight w:val="none"/>
                <w:lang w:val="en-US" w:eastAsia="zh-CN"/>
              </w:rPr>
              <w:t>博士生合计</w:t>
            </w:r>
          </w:p>
        </w:tc>
        <w:tc>
          <w:tcPr>
            <w:tcW w:w="119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23</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5</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12</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lang w:val="en-US" w:eastAsia="zh-CN"/>
              </w:rPr>
              <w:t>20</w:t>
            </w:r>
            <w:r>
              <w:rPr>
                <w:rFonts w:hint="eastAsia" w:ascii="仿宋" w:hAnsi="仿宋" w:eastAsia="仿宋" w:cs="仿宋"/>
                <w:b/>
                <w:bCs/>
                <w:color w:val="000000"/>
                <w:kern w:val="0"/>
                <w:sz w:val="21"/>
                <w:szCs w:val="21"/>
                <w:highlight w:val="none"/>
              </w:rPr>
              <w:t>科硕</w:t>
            </w: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rPr>
              <w:t>应用经济学</w:t>
            </w:r>
          </w:p>
        </w:tc>
        <w:tc>
          <w:tcPr>
            <w:tcW w:w="1195" w:type="dxa"/>
            <w:vAlign w:val="center"/>
          </w:tcPr>
          <w:p>
            <w:pPr>
              <w:widowControl/>
              <w:jc w:val="center"/>
              <w:rPr>
                <w:rFonts w:hint="eastAsia" w:ascii="仿宋" w:hAnsi="仿宋" w:eastAsia="仿宋" w:cs="仿宋"/>
                <w:color w:val="000000"/>
                <w:kern w:val="0"/>
                <w:sz w:val="21"/>
                <w:szCs w:val="21"/>
                <w:highlight w:val="none"/>
                <w:lang w:val="en-US" w:eastAsia="zh-CN" w:bidi="ar-SA"/>
              </w:rPr>
            </w:pPr>
            <w:r>
              <w:rPr>
                <w:rFonts w:hint="eastAsia" w:eastAsia="仿宋" w:cs="Times New Roman"/>
                <w:color w:val="000000"/>
                <w:kern w:val="0"/>
                <w:szCs w:val="21"/>
                <w:highlight w:val="none"/>
                <w:lang w:val="en-US" w:eastAsia="zh-CN"/>
              </w:rPr>
              <w:t>6</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1</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3</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rPr>
              <w:t>管理科学与工程</w:t>
            </w:r>
          </w:p>
        </w:tc>
        <w:tc>
          <w:tcPr>
            <w:tcW w:w="1195" w:type="dxa"/>
            <w:vAlign w:val="center"/>
          </w:tcPr>
          <w:p>
            <w:pPr>
              <w:widowControl/>
              <w:jc w:val="center"/>
              <w:rPr>
                <w:rFonts w:hint="eastAsia" w:ascii="仿宋" w:hAnsi="仿宋" w:eastAsia="仿宋" w:cs="仿宋"/>
                <w:color w:val="000000"/>
                <w:kern w:val="0"/>
                <w:sz w:val="21"/>
                <w:szCs w:val="21"/>
                <w:highlight w:val="none"/>
                <w:lang w:val="en-US" w:eastAsia="zh-CN" w:bidi="ar-SA"/>
              </w:rPr>
            </w:pPr>
            <w:r>
              <w:rPr>
                <w:rFonts w:hint="eastAsia" w:eastAsia="仿宋" w:cs="Times New Roman"/>
                <w:color w:val="000000"/>
                <w:kern w:val="0"/>
                <w:szCs w:val="21"/>
                <w:highlight w:val="none"/>
                <w:lang w:val="en-US" w:eastAsia="zh-CN"/>
              </w:rPr>
              <w:t>8</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2</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4</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0</w:t>
            </w:r>
            <w:r>
              <w:rPr>
                <w:rFonts w:hint="eastAsia" w:ascii="仿宋" w:hAnsi="仿宋" w:eastAsia="仿宋" w:cs="仿宋"/>
                <w:b w:val="0"/>
                <w:bCs/>
                <w:sz w:val="18"/>
                <w:szCs w:val="18"/>
                <w:highlight w:val="none"/>
                <w:vertAlign w:val="baseline"/>
                <w:lang w:val="en-US" w:eastAsia="zh-CN"/>
              </w:rPr>
              <w:t>（2人校级处分）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rPr>
              <w:t>企业管理</w:t>
            </w:r>
          </w:p>
        </w:tc>
        <w:tc>
          <w:tcPr>
            <w:tcW w:w="1195" w:type="dxa"/>
            <w:vAlign w:val="center"/>
          </w:tcPr>
          <w:p>
            <w:pPr>
              <w:widowControl/>
              <w:jc w:val="center"/>
              <w:rPr>
                <w:rFonts w:hint="eastAsia" w:ascii="仿宋" w:hAnsi="仿宋" w:eastAsia="仿宋" w:cs="仿宋"/>
                <w:color w:val="000000"/>
                <w:kern w:val="0"/>
                <w:sz w:val="21"/>
                <w:szCs w:val="21"/>
                <w:highlight w:val="none"/>
                <w:lang w:val="en-US" w:eastAsia="zh-CN" w:bidi="ar-SA"/>
              </w:rPr>
            </w:pPr>
            <w:r>
              <w:rPr>
                <w:rFonts w:hint="default" w:ascii="Times New Roman" w:hAnsi="Times New Roman" w:eastAsia="仿宋" w:cs="Times New Roman"/>
                <w:color w:val="000000"/>
                <w:kern w:val="0"/>
                <w:szCs w:val="21"/>
                <w:highlight w:val="none"/>
              </w:rPr>
              <w:t>6</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1</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3</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rPr>
              <w:t>农林经济管理</w:t>
            </w:r>
          </w:p>
        </w:tc>
        <w:tc>
          <w:tcPr>
            <w:tcW w:w="1195" w:type="dxa"/>
            <w:vAlign w:val="center"/>
          </w:tcPr>
          <w:p>
            <w:pPr>
              <w:widowControl/>
              <w:jc w:val="center"/>
              <w:rPr>
                <w:rFonts w:hint="eastAsia" w:ascii="仿宋" w:hAnsi="仿宋" w:eastAsia="仿宋" w:cs="仿宋"/>
                <w:color w:val="000000"/>
                <w:kern w:val="0"/>
                <w:sz w:val="21"/>
                <w:szCs w:val="21"/>
                <w:highlight w:val="none"/>
                <w:lang w:val="en-US" w:eastAsia="zh-CN" w:bidi="ar-SA"/>
              </w:rPr>
            </w:pPr>
            <w:r>
              <w:rPr>
                <w:rFonts w:hint="eastAsia" w:eastAsia="仿宋" w:cs="Times New Roman"/>
                <w:color w:val="000000"/>
                <w:kern w:val="0"/>
                <w:szCs w:val="21"/>
                <w:highlight w:val="none"/>
                <w:lang w:val="en-US" w:eastAsia="zh-CN"/>
              </w:rPr>
              <w:t>8</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2</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4</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合计</w:t>
            </w:r>
          </w:p>
        </w:tc>
        <w:tc>
          <w:tcPr>
            <w:tcW w:w="119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lang w:val="en-US" w:eastAsia="zh-CN"/>
              </w:rPr>
              <w:t>28</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6</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14</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6</w:t>
            </w:r>
            <w:r>
              <w:rPr>
                <w:rFonts w:hint="eastAsia" w:ascii="仿宋" w:hAnsi="仿宋" w:eastAsia="仿宋" w:cs="仿宋"/>
                <w:b w:val="0"/>
                <w:bCs/>
                <w:sz w:val="18"/>
                <w:szCs w:val="18"/>
                <w:highlight w:val="none"/>
                <w:vertAlign w:val="baseline"/>
                <w:lang w:val="en-US" w:eastAsia="zh-CN"/>
              </w:rPr>
              <w:t>（2人校级处分）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Align w:val="center"/>
          </w:tcPr>
          <w:p>
            <w:pPr>
              <w:widowControl/>
              <w:jc w:val="left"/>
              <w:rPr>
                <w:rFonts w:hint="eastAsia" w:ascii="Times New Roman" w:hAnsi="Times New Roman" w:eastAsia="仿宋" w:cs="Times New Roman"/>
                <w:b/>
                <w:bCs/>
                <w:color w:val="000000"/>
                <w:kern w:val="0"/>
                <w:sz w:val="21"/>
                <w:szCs w:val="21"/>
                <w:highlight w:val="none"/>
                <w:lang w:val="en-US" w:eastAsia="zh-CN" w:bidi="ar-SA"/>
              </w:rPr>
            </w:pPr>
            <w:r>
              <w:rPr>
                <w:rFonts w:hint="default" w:ascii="Times New Roman" w:hAnsi="Times New Roman" w:eastAsia="仿宋" w:cs="Times New Roman"/>
                <w:b/>
                <w:bCs/>
                <w:color w:val="000000"/>
                <w:kern w:val="0"/>
                <w:szCs w:val="21"/>
                <w:highlight w:val="none"/>
              </w:rPr>
              <w:t>20金融专硕</w:t>
            </w:r>
          </w:p>
        </w:tc>
        <w:tc>
          <w:tcPr>
            <w:tcW w:w="1742" w:type="dxa"/>
            <w:vAlign w:val="center"/>
          </w:tcPr>
          <w:p>
            <w:pPr>
              <w:widowControl/>
              <w:jc w:val="center"/>
              <w:rPr>
                <w:rFonts w:hint="eastAsia" w:ascii="Times New Roman" w:hAnsi="Times New Roman" w:eastAsia="仿宋" w:cs="Times New Roman"/>
                <w:b/>
                <w:bCs/>
                <w:color w:val="000000"/>
                <w:kern w:val="0"/>
                <w:sz w:val="21"/>
                <w:szCs w:val="21"/>
                <w:highlight w:val="none"/>
                <w:lang w:val="en-US" w:eastAsia="zh-CN" w:bidi="ar-SA"/>
              </w:rPr>
            </w:pPr>
            <w:r>
              <w:rPr>
                <w:rFonts w:hint="default" w:ascii="Times New Roman" w:hAnsi="Times New Roman" w:eastAsia="仿宋" w:cs="Times New Roman"/>
                <w:b/>
                <w:bCs/>
                <w:color w:val="000000"/>
                <w:kern w:val="0"/>
                <w:szCs w:val="21"/>
                <w:highlight w:val="none"/>
              </w:rPr>
              <w:t>金融</w:t>
            </w:r>
          </w:p>
        </w:tc>
        <w:tc>
          <w:tcPr>
            <w:tcW w:w="1195" w:type="dxa"/>
            <w:vAlign w:val="center"/>
          </w:tcPr>
          <w:p>
            <w:pPr>
              <w:widowControl/>
              <w:jc w:val="center"/>
              <w:rPr>
                <w:rFonts w:hint="eastAsia" w:ascii="Times New Roman" w:hAnsi="Times New Roman" w:eastAsia="仿宋" w:cs="Times New Roman"/>
                <w:b/>
                <w:bCs/>
                <w:color w:val="000000"/>
                <w:kern w:val="0"/>
                <w:sz w:val="21"/>
                <w:szCs w:val="21"/>
                <w:highlight w:val="none"/>
                <w:lang w:val="en-US" w:eastAsia="zh-CN" w:bidi="ar-SA"/>
              </w:rPr>
            </w:pPr>
            <w:r>
              <w:rPr>
                <w:rFonts w:hint="default" w:ascii="Times New Roman" w:hAnsi="Times New Roman" w:eastAsia="仿宋" w:cs="Times New Roman"/>
                <w:b/>
                <w:bCs/>
                <w:color w:val="000000"/>
                <w:kern w:val="0"/>
                <w:szCs w:val="21"/>
                <w:highlight w:val="none"/>
              </w:rPr>
              <w:t>28</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6</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14</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Align w:val="center"/>
          </w:tcPr>
          <w:p>
            <w:pPr>
              <w:widowControl/>
              <w:jc w:val="left"/>
              <w:rPr>
                <w:rFonts w:hint="eastAsia" w:ascii="Times New Roman" w:hAnsi="Times New Roman" w:eastAsia="仿宋" w:cs="Times New Roman"/>
                <w:b/>
                <w:bCs/>
                <w:color w:val="000000"/>
                <w:kern w:val="0"/>
                <w:sz w:val="21"/>
                <w:szCs w:val="21"/>
                <w:highlight w:val="none"/>
                <w:lang w:val="en-US" w:eastAsia="zh-CN" w:bidi="ar-SA"/>
              </w:rPr>
            </w:pPr>
            <w:r>
              <w:rPr>
                <w:rFonts w:hint="default" w:ascii="Times New Roman" w:hAnsi="Times New Roman" w:eastAsia="仿宋" w:cs="Times New Roman"/>
                <w:b/>
                <w:bCs/>
                <w:color w:val="000000"/>
                <w:kern w:val="0"/>
                <w:szCs w:val="21"/>
                <w:highlight w:val="none"/>
              </w:rPr>
              <w:t>20会计专硕</w:t>
            </w:r>
          </w:p>
        </w:tc>
        <w:tc>
          <w:tcPr>
            <w:tcW w:w="1742" w:type="dxa"/>
            <w:vAlign w:val="center"/>
          </w:tcPr>
          <w:p>
            <w:pPr>
              <w:widowControl/>
              <w:jc w:val="center"/>
              <w:rPr>
                <w:rFonts w:hint="eastAsia" w:ascii="Times New Roman" w:hAnsi="Times New Roman" w:eastAsia="仿宋" w:cs="Times New Roman"/>
                <w:b/>
                <w:bCs/>
                <w:color w:val="000000"/>
                <w:kern w:val="0"/>
                <w:sz w:val="21"/>
                <w:szCs w:val="21"/>
                <w:highlight w:val="none"/>
                <w:lang w:val="en-US" w:eastAsia="zh-CN" w:bidi="ar-SA"/>
              </w:rPr>
            </w:pPr>
            <w:r>
              <w:rPr>
                <w:rFonts w:hint="default" w:ascii="Times New Roman" w:hAnsi="Times New Roman" w:eastAsia="仿宋" w:cs="Times New Roman"/>
                <w:b/>
                <w:bCs/>
                <w:color w:val="000000"/>
                <w:kern w:val="0"/>
                <w:szCs w:val="21"/>
                <w:highlight w:val="none"/>
              </w:rPr>
              <w:t>会计</w:t>
            </w:r>
          </w:p>
        </w:tc>
        <w:tc>
          <w:tcPr>
            <w:tcW w:w="1195" w:type="dxa"/>
            <w:vAlign w:val="center"/>
          </w:tcPr>
          <w:p>
            <w:pPr>
              <w:widowControl/>
              <w:jc w:val="center"/>
              <w:rPr>
                <w:rFonts w:hint="eastAsia" w:ascii="Times New Roman" w:hAnsi="Times New Roman" w:eastAsia="仿宋" w:cs="Times New Roman"/>
                <w:b/>
                <w:bCs/>
                <w:color w:val="000000"/>
                <w:kern w:val="0"/>
                <w:sz w:val="21"/>
                <w:szCs w:val="21"/>
                <w:highlight w:val="none"/>
                <w:lang w:val="en-US" w:eastAsia="zh-CN" w:bidi="ar-SA"/>
              </w:rPr>
            </w:pPr>
            <w:r>
              <w:rPr>
                <w:rFonts w:hint="default" w:ascii="Times New Roman" w:hAnsi="Times New Roman" w:eastAsia="仿宋" w:cs="Times New Roman"/>
                <w:b/>
                <w:bCs/>
                <w:color w:val="000000"/>
                <w:kern w:val="0"/>
                <w:szCs w:val="21"/>
                <w:highlight w:val="none"/>
              </w:rPr>
              <w:t>35</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7</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18</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2</w:t>
            </w: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rPr>
              <w:t>科硕</w:t>
            </w: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rPr>
              <w:t>应用经济学</w:t>
            </w:r>
          </w:p>
        </w:tc>
        <w:tc>
          <w:tcPr>
            <w:tcW w:w="1195" w:type="dxa"/>
            <w:vAlign w:val="center"/>
          </w:tcPr>
          <w:p>
            <w:pPr>
              <w:widowControl/>
              <w:jc w:val="center"/>
              <w:rPr>
                <w:rFonts w:hint="eastAsia" w:ascii="仿宋" w:hAnsi="仿宋" w:eastAsia="仿宋" w:cs="仿宋"/>
                <w:color w:val="000000"/>
                <w:kern w:val="0"/>
                <w:sz w:val="21"/>
                <w:szCs w:val="21"/>
                <w:highlight w:val="none"/>
                <w:lang w:val="en-US" w:eastAsia="zh-CN" w:bidi="ar-SA"/>
              </w:rPr>
            </w:pPr>
            <w:r>
              <w:rPr>
                <w:rFonts w:hint="eastAsia" w:ascii="Times New Roman" w:hAnsi="Times New Roman" w:eastAsia="仿宋" w:cs="Times New Roman"/>
                <w:b w:val="0"/>
                <w:bCs w:val="0"/>
                <w:color w:val="000000"/>
                <w:kern w:val="0"/>
                <w:szCs w:val="21"/>
                <w:highlight w:val="none"/>
                <w:lang w:val="en-US" w:eastAsia="zh-CN"/>
              </w:rPr>
              <w:t>5</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1</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2</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rPr>
              <w:t>管理科学与工程</w:t>
            </w:r>
          </w:p>
        </w:tc>
        <w:tc>
          <w:tcPr>
            <w:tcW w:w="1195" w:type="dxa"/>
            <w:vAlign w:val="center"/>
          </w:tcPr>
          <w:p>
            <w:pPr>
              <w:widowControl/>
              <w:jc w:val="center"/>
              <w:rPr>
                <w:rFonts w:hint="eastAsia" w:ascii="仿宋" w:hAnsi="仿宋" w:eastAsia="仿宋" w:cs="仿宋"/>
                <w:color w:val="000000"/>
                <w:kern w:val="0"/>
                <w:sz w:val="21"/>
                <w:szCs w:val="21"/>
                <w:highlight w:val="none"/>
                <w:lang w:val="en-US" w:eastAsia="zh-CN" w:bidi="ar-SA"/>
              </w:rPr>
            </w:pPr>
            <w:r>
              <w:rPr>
                <w:rFonts w:hint="eastAsia" w:ascii="Times New Roman" w:hAnsi="Times New Roman" w:eastAsia="仿宋" w:cs="Times New Roman"/>
                <w:b w:val="0"/>
                <w:bCs w:val="0"/>
                <w:color w:val="000000"/>
                <w:kern w:val="0"/>
                <w:szCs w:val="21"/>
                <w:highlight w:val="none"/>
                <w:lang w:val="en-US" w:eastAsia="zh-CN"/>
              </w:rPr>
              <w:t>8</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1</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5</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rPr>
              <w:t>企业管理</w:t>
            </w:r>
          </w:p>
        </w:tc>
        <w:tc>
          <w:tcPr>
            <w:tcW w:w="1195" w:type="dxa"/>
            <w:vAlign w:val="center"/>
          </w:tcPr>
          <w:p>
            <w:pPr>
              <w:widowControl/>
              <w:jc w:val="center"/>
              <w:rPr>
                <w:rFonts w:hint="eastAsia" w:ascii="仿宋" w:hAnsi="仿宋" w:eastAsia="仿宋" w:cs="仿宋"/>
                <w:color w:val="000000"/>
                <w:kern w:val="0"/>
                <w:sz w:val="21"/>
                <w:szCs w:val="21"/>
                <w:highlight w:val="none"/>
                <w:lang w:val="en-US" w:eastAsia="zh-CN" w:bidi="ar-SA"/>
              </w:rPr>
            </w:pPr>
            <w:r>
              <w:rPr>
                <w:rFonts w:hint="eastAsia" w:ascii="Times New Roman" w:hAnsi="Times New Roman" w:eastAsia="仿宋" w:cs="Times New Roman"/>
                <w:b w:val="0"/>
                <w:bCs w:val="0"/>
                <w:color w:val="000000"/>
                <w:kern w:val="0"/>
                <w:szCs w:val="21"/>
                <w:highlight w:val="none"/>
                <w:lang w:val="en-US" w:eastAsia="zh-CN"/>
              </w:rPr>
              <w:t>9</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2</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4</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r>
              <w:rPr>
                <w:rFonts w:hint="eastAsia" w:ascii="仿宋" w:hAnsi="仿宋" w:eastAsia="仿宋" w:cs="仿宋"/>
                <w:color w:val="000000"/>
                <w:kern w:val="0"/>
                <w:sz w:val="21"/>
                <w:szCs w:val="21"/>
                <w:highlight w:val="none"/>
              </w:rPr>
              <w:t>农林经济管理</w:t>
            </w:r>
          </w:p>
        </w:tc>
        <w:tc>
          <w:tcPr>
            <w:tcW w:w="1195" w:type="dxa"/>
            <w:vAlign w:val="center"/>
          </w:tcPr>
          <w:p>
            <w:pPr>
              <w:widowControl/>
              <w:jc w:val="center"/>
              <w:rPr>
                <w:rFonts w:hint="eastAsia" w:ascii="仿宋" w:hAnsi="仿宋" w:eastAsia="仿宋" w:cs="仿宋"/>
                <w:color w:val="000000"/>
                <w:kern w:val="0"/>
                <w:sz w:val="21"/>
                <w:szCs w:val="21"/>
                <w:highlight w:val="none"/>
                <w:lang w:val="en-US" w:eastAsia="zh-CN" w:bidi="ar-SA"/>
              </w:rPr>
            </w:pPr>
            <w:r>
              <w:rPr>
                <w:rFonts w:hint="eastAsia" w:ascii="Times New Roman" w:hAnsi="Times New Roman" w:eastAsia="仿宋" w:cs="Times New Roman"/>
                <w:b w:val="0"/>
                <w:bCs w:val="0"/>
                <w:color w:val="000000"/>
                <w:kern w:val="0"/>
                <w:szCs w:val="21"/>
                <w:highlight w:val="none"/>
                <w:lang w:val="en-US" w:eastAsia="zh-CN"/>
              </w:rPr>
              <w:t>13</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3</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6</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sz w:val="21"/>
                <w:szCs w:val="21"/>
                <w:highlight w:val="none"/>
                <w:vertAlign w:val="baseline"/>
                <w:lang w:val="en-US" w:eastAsia="zh-CN"/>
              </w:rPr>
            </w:pPr>
            <w:r>
              <w:rPr>
                <w:rFonts w:hint="eastAsia" w:ascii="仿宋" w:hAnsi="仿宋" w:eastAsia="仿宋" w:cs="仿宋"/>
                <w:b w:val="0"/>
                <w:bCs/>
                <w:sz w:val="21"/>
                <w:szCs w:val="21"/>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kern w:val="0"/>
                <w:sz w:val="21"/>
                <w:szCs w:val="21"/>
                <w:highlight w:val="none"/>
                <w:lang w:val="en-US" w:eastAsia="zh-CN" w:bidi="ar-SA"/>
              </w:rPr>
            </w:pP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合计</w:t>
            </w:r>
          </w:p>
        </w:tc>
        <w:tc>
          <w:tcPr>
            <w:tcW w:w="1195" w:type="dxa"/>
            <w:vAlign w:val="center"/>
          </w:tcPr>
          <w:p>
            <w:pPr>
              <w:widowControl/>
              <w:jc w:val="center"/>
              <w:rPr>
                <w:rFonts w:hint="eastAsia" w:ascii="仿宋" w:hAnsi="仿宋" w:eastAsia="仿宋" w:cs="仿宋"/>
                <w:b/>
                <w:bCs/>
                <w:color w:val="000000"/>
                <w:kern w:val="0"/>
                <w:sz w:val="21"/>
                <w:szCs w:val="21"/>
                <w:highlight w:val="none"/>
                <w:lang w:val="en-US" w:eastAsia="zh-CN" w:bidi="ar-SA"/>
              </w:rPr>
            </w:pPr>
            <w:r>
              <w:rPr>
                <w:rFonts w:hint="eastAsia" w:ascii="Times New Roman" w:hAnsi="Times New Roman" w:eastAsia="仿宋" w:cs="Times New Roman"/>
                <w:b/>
                <w:bCs/>
                <w:color w:val="000000"/>
                <w:kern w:val="0"/>
                <w:szCs w:val="21"/>
                <w:highlight w:val="none"/>
                <w:lang w:val="en-US" w:eastAsia="zh-CN"/>
              </w:rPr>
              <w:t>35</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7</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17</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2</w:t>
            </w: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rPr>
              <w:t>金融专硕</w:t>
            </w: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金融</w:t>
            </w:r>
          </w:p>
        </w:tc>
        <w:tc>
          <w:tcPr>
            <w:tcW w:w="1195" w:type="dxa"/>
            <w:vAlign w:val="center"/>
          </w:tcPr>
          <w:p>
            <w:pPr>
              <w:widowControl/>
              <w:jc w:val="center"/>
              <w:rPr>
                <w:rFonts w:hint="eastAsia" w:ascii="Times New Roman" w:hAnsi="Times New Roman" w:eastAsia="仿宋" w:cs="Times New Roman"/>
                <w:b/>
                <w:bCs/>
                <w:color w:val="000000"/>
                <w:kern w:val="0"/>
                <w:sz w:val="21"/>
                <w:szCs w:val="21"/>
                <w:highlight w:val="none"/>
                <w:lang w:val="en-US" w:eastAsia="zh-CN" w:bidi="ar-SA"/>
              </w:rPr>
            </w:pPr>
            <w:r>
              <w:rPr>
                <w:rFonts w:hint="eastAsia" w:ascii="Times New Roman" w:hAnsi="Times New Roman" w:eastAsia="仿宋" w:cs="Times New Roman"/>
                <w:b/>
                <w:bCs/>
                <w:color w:val="000000"/>
                <w:kern w:val="0"/>
                <w:szCs w:val="21"/>
                <w:highlight w:val="none"/>
                <w:lang w:val="en-US" w:eastAsia="zh-CN"/>
              </w:rPr>
              <w:t>37</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7</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19</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2</w:t>
            </w: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rPr>
              <w:t>会计专硕</w:t>
            </w:r>
          </w:p>
        </w:tc>
        <w:tc>
          <w:tcPr>
            <w:tcW w:w="174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rPr>
              <w:t>会计</w:t>
            </w:r>
          </w:p>
        </w:tc>
        <w:tc>
          <w:tcPr>
            <w:tcW w:w="1195" w:type="dxa"/>
            <w:vAlign w:val="center"/>
          </w:tcPr>
          <w:p>
            <w:pPr>
              <w:widowControl/>
              <w:jc w:val="center"/>
              <w:rPr>
                <w:rFonts w:hint="eastAsia" w:ascii="Times New Roman" w:hAnsi="Times New Roman" w:eastAsia="仿宋" w:cs="Times New Roman"/>
                <w:b/>
                <w:bCs/>
                <w:color w:val="000000"/>
                <w:kern w:val="0"/>
                <w:sz w:val="21"/>
                <w:szCs w:val="21"/>
                <w:highlight w:val="none"/>
                <w:lang w:val="en-US" w:eastAsia="zh-CN" w:bidi="ar-SA"/>
              </w:rPr>
            </w:pPr>
            <w:r>
              <w:rPr>
                <w:rFonts w:hint="eastAsia" w:ascii="Times New Roman" w:hAnsi="Times New Roman" w:eastAsia="仿宋" w:cs="Times New Roman"/>
                <w:b/>
                <w:bCs/>
                <w:color w:val="000000"/>
                <w:kern w:val="0"/>
                <w:szCs w:val="21"/>
                <w:highlight w:val="none"/>
                <w:lang w:val="en-US" w:eastAsia="zh-CN"/>
              </w:rPr>
              <w:t>45</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9</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22</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107"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lang w:eastAsia="zh-CN"/>
              </w:rPr>
              <w:t>硕士生</w:t>
            </w:r>
            <w:r>
              <w:rPr>
                <w:rFonts w:hint="eastAsia" w:ascii="仿宋" w:hAnsi="仿宋" w:eastAsia="仿宋" w:cs="仿宋"/>
                <w:b/>
                <w:bCs/>
                <w:color w:val="000000"/>
                <w:kern w:val="0"/>
                <w:sz w:val="21"/>
                <w:szCs w:val="21"/>
                <w:highlight w:val="none"/>
              </w:rPr>
              <w:t>合计</w:t>
            </w:r>
          </w:p>
        </w:tc>
        <w:tc>
          <w:tcPr>
            <w:tcW w:w="119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highlight w:val="none"/>
                <w:lang w:val="en-US" w:eastAsia="zh-CN" w:bidi="ar-SA"/>
              </w:rPr>
            </w:pPr>
            <w:r>
              <w:rPr>
                <w:rFonts w:hint="eastAsia" w:ascii="仿宋" w:hAnsi="仿宋" w:eastAsia="仿宋" w:cs="仿宋"/>
                <w:b/>
                <w:bCs/>
                <w:color w:val="000000"/>
                <w:kern w:val="0"/>
                <w:sz w:val="21"/>
                <w:szCs w:val="21"/>
                <w:highlight w:val="none"/>
                <w:lang w:val="en-US" w:eastAsia="zh-CN"/>
              </w:rPr>
              <w:t>208</w:t>
            </w:r>
          </w:p>
        </w:tc>
        <w:tc>
          <w:tcPr>
            <w:tcW w:w="147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42</w:t>
            </w:r>
          </w:p>
        </w:tc>
        <w:tc>
          <w:tcPr>
            <w:tcW w:w="14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104</w:t>
            </w:r>
          </w:p>
        </w:tc>
        <w:tc>
          <w:tcPr>
            <w:tcW w:w="16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60</w:t>
            </w:r>
            <w:r>
              <w:rPr>
                <w:rFonts w:hint="eastAsia" w:ascii="仿宋" w:hAnsi="仿宋" w:eastAsia="仿宋" w:cs="仿宋"/>
                <w:b w:val="0"/>
                <w:bCs/>
                <w:sz w:val="18"/>
                <w:szCs w:val="18"/>
                <w:highlight w:val="none"/>
                <w:vertAlign w:val="baseline"/>
                <w:lang w:val="en-US" w:eastAsia="zh-CN"/>
              </w:rPr>
              <w:t>（2人校级处分）</w:t>
            </w:r>
          </w:p>
        </w:tc>
      </w:tr>
    </w:tbl>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kern w:val="0"/>
          <w:sz w:val="28"/>
          <w:szCs w:val="28"/>
          <w:highlight w:val="none"/>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第三章　评审组织与程序</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第十一条</w:t>
      </w:r>
      <w:r>
        <w:rPr>
          <w:rFonts w:hint="eastAsia" w:ascii="仿宋" w:hAnsi="仿宋" w:eastAsia="仿宋" w:cs="仿宋"/>
          <w:kern w:val="0"/>
          <w:sz w:val="24"/>
          <w:highlight w:val="none"/>
          <w:lang w:val="en-US" w:eastAsia="zh-CN"/>
        </w:rPr>
        <w:t>　学院成立研究生学业奖学金评审委员会，由学院主要领导任主任委员，分管研究生工作的副院长、副书记任副主任委员，研究生导师代表（其中学科带头人必须参加）、研究生代表任委员，负责本学院研究生学业奖学金的评审工作，具体人员名单如下：</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主任：杨红强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副主任：蔡志敏、杨爱军、邓德强</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委员：</w:t>
      </w:r>
      <w:r>
        <w:rPr>
          <w:rFonts w:hint="eastAsia" w:ascii="仿宋" w:hAnsi="仿宋" w:eastAsia="仿宋" w:cs="仿宋"/>
          <w:kern w:val="0"/>
          <w:sz w:val="24"/>
          <w:highlight w:val="none"/>
          <w:lang w:val="en-US" w:eastAsia="zh-CN"/>
        </w:rPr>
        <w:t>张智光、陆萍、沈文星、宁卓、王磊、李亚平、王梅玲、钟马、丛静、潘文琦、陆青青、姚佳伟、施静、侯云洁、匡鑫玥、王昕怡、邢亚茹、岑泽、丁子睿</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第十二条</w:t>
      </w:r>
      <w:r>
        <w:rPr>
          <w:rFonts w:hint="eastAsia" w:ascii="仿宋" w:hAnsi="仿宋" w:eastAsia="仿宋" w:cs="仿宋"/>
          <w:kern w:val="0"/>
          <w:sz w:val="24"/>
          <w:highlight w:val="none"/>
          <w:lang w:val="en-US" w:eastAsia="zh-CN"/>
        </w:rPr>
        <w:t xml:space="preserve">  学院团委负责学院研究生学业奖学金评审的具体组织工作，包括制定每年评审工作实施计划、公布评审结果、汇总评审工作情况、统一保存评审资料等。</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第十三条</w:t>
      </w:r>
      <w:r>
        <w:rPr>
          <w:rFonts w:hint="eastAsia" w:ascii="仿宋" w:hAnsi="仿宋" w:eastAsia="仿宋" w:cs="仿宋"/>
          <w:kern w:val="0"/>
          <w:sz w:val="24"/>
          <w:highlight w:val="none"/>
          <w:lang w:val="en-US" w:eastAsia="zh-CN"/>
        </w:rPr>
        <w:t xml:space="preserve">  班级成立学业奖学金评定小组（可同综合素质评定小组），由班主任、党支部书记、班长、团支书及研究生代表共6-8人组成，负责班级学业奖学金的评定。</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评定原则：以综合测评为主，同时兼顾各专业具体情况，确定各等级奖学金获奖人选报学院审核。（综合测评德育分低于60分者或有课程考试不及格者自动归入三等学业奖学金；综合素质得分为0者不参加学业奖学金评定。）</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 xml:space="preserve">第十四条 </w:t>
      </w:r>
      <w:r>
        <w:rPr>
          <w:rFonts w:hint="eastAsia" w:ascii="仿宋" w:hAnsi="仿宋" w:eastAsia="仿宋" w:cs="仿宋"/>
          <w:kern w:val="0"/>
          <w:sz w:val="24"/>
          <w:highlight w:val="none"/>
          <w:lang w:val="en-US" w:eastAsia="zh-CN"/>
        </w:rPr>
        <w:t xml:space="preserve"> 学院研究生学业奖学金评审委员会根据各班级上报情况，最终确定获奖学生名单后，在学院内进行不少于3个工作日的公示。公示无异议后，提交学校研究生学业奖学金评审工作领导小组审定。</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第十五条</w:t>
      </w:r>
      <w:r>
        <w:rPr>
          <w:rFonts w:hint="eastAsia" w:ascii="仿宋" w:hAnsi="仿宋" w:eastAsia="仿宋" w:cs="仿宋"/>
          <w:kern w:val="0"/>
          <w:sz w:val="24"/>
          <w:highlight w:val="none"/>
          <w:lang w:val="en-US" w:eastAsia="zh-CN"/>
        </w:rPr>
        <w:t>　对研究生学业奖学金评审结果有异议的，可在学院公示阶段向本学院评审委员会提出申诉，评审委员会应及时研究并予以答复。如申诉人对学院的答复仍存在异议，可在学校公示阶段向学校研究生学业奖学金评审工作领导小组提请裁决。</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第十六条</w:t>
      </w:r>
      <w:r>
        <w:rPr>
          <w:rFonts w:hint="eastAsia" w:ascii="仿宋" w:hAnsi="仿宋" w:eastAsia="仿宋" w:cs="仿宋"/>
          <w:kern w:val="0"/>
          <w:sz w:val="24"/>
          <w:highlight w:val="none"/>
          <w:lang w:val="en-US" w:eastAsia="zh-CN"/>
        </w:rPr>
        <w:t>　研究生学业奖学金的评审工作应坚持公正、公平、公开、择优的原则，严格执行国家有关教育法规，杜绝弄虚作假。</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rPr>
        <w:t>第四章　资金管理</w:t>
      </w:r>
      <w:r>
        <w:rPr>
          <w:rFonts w:hint="eastAsia" w:ascii="仿宋" w:hAnsi="仿宋" w:eastAsia="仿宋" w:cs="仿宋"/>
          <w:b/>
          <w:bCs/>
          <w:kern w:val="0"/>
          <w:sz w:val="28"/>
          <w:szCs w:val="28"/>
          <w:highlight w:val="none"/>
          <w:lang w:val="en-US" w:eastAsia="zh-CN"/>
        </w:rPr>
        <w:t>及其他</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第十七条</w:t>
      </w:r>
      <w:r>
        <w:rPr>
          <w:rFonts w:hint="eastAsia" w:ascii="仿宋" w:hAnsi="仿宋" w:eastAsia="仿宋" w:cs="仿宋"/>
          <w:kern w:val="0"/>
          <w:sz w:val="24"/>
          <w:highlight w:val="none"/>
          <w:lang w:val="en-US" w:eastAsia="zh-CN"/>
        </w:rPr>
        <w:t>　根据学校安排，学校每年12月31日前将本学年研究生学业奖学金一次性发放给获奖学生，并将研究生获得学业奖学金情况记入学生学籍档案。</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第十八条</w:t>
      </w:r>
      <w:r>
        <w:rPr>
          <w:rFonts w:hint="eastAsia" w:ascii="仿宋" w:hAnsi="仿宋" w:eastAsia="仿宋" w:cs="仿宋"/>
          <w:kern w:val="0"/>
          <w:sz w:val="24"/>
          <w:highlight w:val="none"/>
          <w:lang w:val="en-US" w:eastAsia="zh-CN"/>
        </w:rPr>
        <w:t xml:space="preserve">  在评审期间或评审之后，如发现参评研究生有剽窃、造假等学术不端行为、有违反学校规章制度或者其它违法行为，取消学业奖学金参评资格，已发放奖学金的要予以收回。</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第五章　附则</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第十九条</w:t>
      </w:r>
      <w:r>
        <w:rPr>
          <w:rFonts w:hint="eastAsia" w:ascii="仿宋" w:hAnsi="仿宋" w:eastAsia="仿宋" w:cs="仿宋"/>
          <w:kern w:val="0"/>
          <w:sz w:val="24"/>
          <w:highlight w:val="none"/>
          <w:lang w:val="en-US" w:eastAsia="zh-CN"/>
        </w:rPr>
        <w:t xml:space="preserve">  研究生学业奖学金每年评审一次，评选时间为当年11月。</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第二十条</w:t>
      </w:r>
      <w:r>
        <w:rPr>
          <w:rFonts w:hint="eastAsia" w:ascii="仿宋" w:hAnsi="仿宋" w:eastAsia="仿宋" w:cs="仿宋"/>
          <w:kern w:val="0"/>
          <w:sz w:val="24"/>
          <w:highlight w:val="none"/>
          <w:lang w:val="en-US" w:eastAsia="zh-CN"/>
        </w:rPr>
        <w:t xml:space="preserve">  本办法由经济管理学院负责解释。</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kern w:val="0"/>
          <w:sz w:val="24"/>
          <w:highlight w:val="none"/>
          <w:lang w:val="en-US" w:eastAsia="zh-CN"/>
        </w:rPr>
      </w:pPr>
      <w:r>
        <w:rPr>
          <w:rFonts w:hint="eastAsia" w:ascii="仿宋" w:hAnsi="仿宋" w:eastAsia="仿宋" w:cs="仿宋"/>
          <w:b/>
          <w:bCs/>
          <w:kern w:val="0"/>
          <w:sz w:val="24"/>
          <w:highlight w:val="none"/>
          <w:lang w:val="en-US" w:eastAsia="zh-CN"/>
        </w:rPr>
        <w:t>第二十一条</w:t>
      </w:r>
      <w:r>
        <w:rPr>
          <w:rFonts w:hint="eastAsia" w:ascii="仿宋" w:hAnsi="仿宋" w:eastAsia="仿宋" w:cs="仿宋"/>
          <w:kern w:val="0"/>
          <w:sz w:val="24"/>
          <w:highlight w:val="none"/>
          <w:lang w:val="en-US" w:eastAsia="zh-CN"/>
        </w:rPr>
        <w:t xml:space="preserve">  本办法自 2022 年 9 月 1 日起施行，原《南京林业大学经济管理学院研究生学业奖学金管理暂行办法（试行</w:t>
      </w:r>
      <w:bookmarkStart w:id="0" w:name="_GoBack"/>
      <w:bookmarkEnd w:id="0"/>
      <w:r>
        <w:rPr>
          <w:rFonts w:hint="eastAsia" w:ascii="仿宋" w:hAnsi="仿宋" w:eastAsia="仿宋" w:cs="仿宋"/>
          <w:kern w:val="0"/>
          <w:sz w:val="24"/>
          <w:highlight w:val="none"/>
          <w:lang w:val="en-US" w:eastAsia="zh-CN"/>
        </w:rPr>
        <w:t>）》同时废止。</w:t>
      </w:r>
    </w:p>
    <w:p>
      <w:pPr>
        <w:keepNext w:val="0"/>
        <w:keepLines w:val="0"/>
        <w:pageBreakBefore w:val="0"/>
        <w:kinsoku/>
        <w:wordWrap/>
        <w:overflowPunct/>
        <w:topLinePunct w:val="0"/>
        <w:autoSpaceDE/>
        <w:autoSpaceDN/>
        <w:bidi w:val="0"/>
        <w:adjustRightInd/>
        <w:spacing w:line="360" w:lineRule="auto"/>
        <w:ind w:firstLine="480" w:firstLineChars="200"/>
        <w:jc w:val="center"/>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480" w:firstLineChars="200"/>
        <w:jc w:val="center"/>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                                               经济管理学院</w:t>
      </w:r>
    </w:p>
    <w:p>
      <w:pPr>
        <w:keepNext w:val="0"/>
        <w:keepLines w:val="0"/>
        <w:pageBreakBefore w:val="0"/>
        <w:kinsoku/>
        <w:wordWrap/>
        <w:overflowPunct/>
        <w:topLinePunct w:val="0"/>
        <w:autoSpaceDE/>
        <w:autoSpaceDN/>
        <w:bidi w:val="0"/>
        <w:adjustRightInd/>
        <w:spacing w:line="360" w:lineRule="auto"/>
        <w:ind w:firstLine="480" w:firstLineChars="200"/>
        <w:jc w:val="righ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2022年11月11日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E59F3"/>
    <w:multiLevelType w:val="singleLevel"/>
    <w:tmpl w:val="990E59F3"/>
    <w:lvl w:ilvl="0" w:tentative="0">
      <w:start w:val="7"/>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NGJkNDJlZTM4M2RjMzY5MGJjNTQ1OTljNTllODcifQ=="/>
  </w:docVars>
  <w:rsids>
    <w:rsidRoot w:val="00000000"/>
    <w:rsid w:val="023D5CBC"/>
    <w:rsid w:val="036D498E"/>
    <w:rsid w:val="0D611A32"/>
    <w:rsid w:val="132E22B0"/>
    <w:rsid w:val="1614536C"/>
    <w:rsid w:val="28520A80"/>
    <w:rsid w:val="28AC72CE"/>
    <w:rsid w:val="38A97BA8"/>
    <w:rsid w:val="3C432E26"/>
    <w:rsid w:val="43EB1E5F"/>
    <w:rsid w:val="456A09E7"/>
    <w:rsid w:val="481C0F5A"/>
    <w:rsid w:val="51D257D7"/>
    <w:rsid w:val="57020FB3"/>
    <w:rsid w:val="594275ED"/>
    <w:rsid w:val="5DCB7ECB"/>
    <w:rsid w:val="5F54384C"/>
    <w:rsid w:val="6A9308E3"/>
    <w:rsid w:val="725F49CE"/>
    <w:rsid w:val="74237C45"/>
    <w:rsid w:val="7489381A"/>
    <w:rsid w:val="76EC4055"/>
    <w:rsid w:val="7A815EE0"/>
    <w:rsid w:val="7DB240D3"/>
    <w:rsid w:val="7FFE64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eastAsia="黑体" w:cs="Times New Roman"/>
      <w:b/>
      <w:kern w:val="44"/>
      <w:sz w:val="36"/>
    </w:rPr>
  </w:style>
  <w:style w:type="paragraph" w:styleId="3">
    <w:name w:val="heading 2"/>
    <w:basedOn w:val="1"/>
    <w:next w:val="1"/>
    <w:semiHidden/>
    <w:unhideWhenUsed/>
    <w:qFormat/>
    <w:uiPriority w:val="0"/>
    <w:pPr>
      <w:keepNext/>
      <w:keepLines/>
      <w:spacing w:before="50" w:beforeLines="50" w:beforeAutospacing="0" w:after="50" w:afterLines="50" w:afterAutospacing="0" w:line="400" w:lineRule="exact"/>
      <w:outlineLvl w:val="1"/>
    </w:pPr>
    <w:rPr>
      <w:rFonts w:ascii="Arial" w:hAnsi="Arial" w:eastAsia="黑体" w:cs="Times New Roman"/>
      <w:sz w:val="30"/>
    </w:rPr>
  </w:style>
  <w:style w:type="paragraph" w:styleId="4">
    <w:name w:val="heading 3"/>
    <w:basedOn w:val="1"/>
    <w:next w:val="1"/>
    <w:semiHidden/>
    <w:unhideWhenUsed/>
    <w:qFormat/>
    <w:uiPriority w:val="0"/>
    <w:pPr>
      <w:keepNext/>
      <w:keepLines/>
      <w:spacing w:before="50" w:beforeLines="50" w:beforeAutospacing="0" w:after="50" w:afterLines="50" w:afterAutospacing="0" w:line="400" w:lineRule="exact"/>
      <w:ind w:firstLine="482" w:firstLineChars="200"/>
      <w:outlineLvl w:val="2"/>
    </w:pPr>
    <w:rPr>
      <w:rFonts w:ascii="Times New Roman" w:hAnsi="Times New Roman" w:eastAsia="黑体" w:cs="Times New Roman"/>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3054</Words>
  <Characters>3212</Characters>
  <Lines>0</Lines>
  <Paragraphs>0</Paragraphs>
  <TotalTime>10</TotalTime>
  <ScaleCrop>false</ScaleCrop>
  <LinksUpToDate>false</LinksUpToDate>
  <CharactersWithSpaces>3340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吱</cp:lastModifiedBy>
  <cp:lastPrinted>2022-11-11T02:25:58Z</cp:lastPrinted>
  <dcterms:modified xsi:type="dcterms:W3CDTF">2022-11-11T07:22:28Z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1D84EAD0CA30439EBFE172A2049C5471</vt:lpwstr>
  </property>
</Properties>
</file>